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Fonts w:ascii="Calibri" w:cs="Calibri" w:eastAsia="Calibri" w:hAnsi="Calibri"/>
          <w:color w:val="404040"/>
          <w:rtl w:val="0"/>
        </w:rPr>
        <w:t xml:space="preserve">PLANO DE ENSINO 2025</w:t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both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61229" cy="385341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I – IDENTIFICAÇÃO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61229" cy="385341"/>
                <wp:effectExtent b="0" l="0" r="0" t="0"/>
                <wp:wrapNone/>
                <wp:docPr id="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364"/>
        <w:gridCol w:w="3301"/>
        <w:gridCol w:w="1843"/>
        <w:gridCol w:w="1843"/>
        <w:tblGridChange w:id="0">
          <w:tblGrid>
            <w:gridCol w:w="2364"/>
            <w:gridCol w:w="3301"/>
            <w:gridCol w:w="1843"/>
            <w:gridCol w:w="18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Antropologias do Capitalismo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72h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Sociologia e Política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7º semestre/2025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Vinícius Rodrigues A. Amaral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04040"/>
                <w:rtl w:val="0"/>
              </w:rPr>
              <w:t xml:space="preserve">Doutorando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04040"/>
                <w:rtl w:val="0"/>
              </w:rPr>
              <w:t xml:space="preserve">CÓDIGO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1229" cy="385341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II – OBJETIVOS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1229" cy="385341"/>
                <wp:effectExtent b="0" l="0" r="0" t="0"/>
                <wp:wrapNone/>
                <wp:docPr id="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GERAL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objetivo deste curso é localizar e apresentar as pesquisas e trabalhos em antropologia que investigam as diferentes dinâmicas do sistema capitalista. A partir de uma perspectiva interdisciplinar que estabelece pontos de contato com a economia, o direito, a filosofia, a sociologia e a ciência política, analisaremos as transformações do capitalismo e seus efeitos socioculturais e políticos.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ESPECÍFICOS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Investigar os debates em torno do desenvolvimento de uma cosmologia do sistema capitalista;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Apresentar a pluralidade de etnografias sobre diferentes setores e fenômenos socioculturais no sistema capitalista;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Analisar o processo de consolidação do capitalismo informacional e imaterial contemporâneo;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Abordar as contranarrativas ao capitalismo produzidas pelos povos originários e outras populações marginalizadas;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Ampliar o olhar para a relação entre capitalismo, colonialismo e colonialidade.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1229" cy="385341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III – EMENTA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1229" cy="385341"/>
                <wp:effectExtent b="0" l="0" r="0" t="0"/>
                <wp:wrapNone/>
                <wp:docPr id="4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disciplina apresenta os desafios para a consolidação do estudo sobre as dinâmicas do sistema capitalista e das cidades a partir da antropologia, bem como os debates contemporâneos sobre as etnografias do capitalismo. Aborda as transformações de teoria e método da disciplina e a forma de se relacionar com a economia, o direito e a ciência política.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1229" cy="385341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IV. CONTEÚDO SELECIONADO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61229" cy="385341"/>
                <wp:effectExtent b="0" l="0" r="0" t="0"/>
                <wp:wrapNone/>
                <wp:docPr id="4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Capitalismo enquanto cultura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Capitalismo como religião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Etnografias sobre o capitalismo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Capitalismo informacional e imaterial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Capitalismo, Colonialismo e Colonialidade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Dádiva e Dívida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 ou Compartilhar? Epistemologias contra-coloniais e contra-capitalistas.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1229" cy="385341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V. METODOLOGIA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1229" cy="385341"/>
                <wp:effectExtent b="0" l="0" r="0" t="0"/>
                <wp:wrapNone/>
                <wp:docPr id="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34" w:hanging="234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– Métodos: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Aulas expositivas e dialogadas: nas aulas expositivas e dialogadas, o professor apresentará os conteúdos e poderá propor atividades em sala de aula. </w:t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– Metodologia ativa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Sala de aula invertida: nas aulas neste formato, os estudantes deverão apresentar o que entenderam e quais questões surgiram durante a leitura dos textos, como forma de construir um conhecimento coletivo e compartilhado.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Seminários: os/as estudantes serão divididos em grupos e cada grupo ficará responsável por apresentar um texto previamente selecionado.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estudantes poderão usar recursos visuais, de áudio ou quaisquer outros que tornem a apresentação mais atrativa.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apresentação deve ter no mínimo 1 hora e no máximo 1h30.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a apresentação, o grupo deve propor atividades que engajem a sala a participar.</w:t>
      </w:r>
    </w:p>
    <w:p w:rsidR="00000000" w:rsidDel="00000000" w:rsidP="00000000" w:rsidRDefault="00000000" w:rsidRPr="00000000" w14:paraId="00000044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 – Recursos: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material bibliográfico estará disponível na biblioteca, na internet e/ou no AVA. Serão utilizados recursos audiovisuais disponíveis na escola, incluindo apresentação de aulas em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powerpoint</w:t>
      </w:r>
      <w:r w:rsidDel="00000000" w:rsidR="00000000" w:rsidRPr="00000000">
        <w:rPr>
          <w:rFonts w:ascii="Arial" w:cs="Arial" w:eastAsia="Arial" w:hAnsi="Arial"/>
          <w:rtl w:val="0"/>
        </w:rPr>
        <w:t xml:space="preserve"> e filmes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1229" cy="385341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VI. AVALIAÇÃO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1229" cy="385341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Deve ser bem descritiva acerca dos objetivos esperados, as habilidades avaliadas e a ponderação de cada atividade.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Reações a três textos (1 pontos cada, total 3 pontos)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1440" w:hanging="360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Nas reações os/as estudantes devem relatar as reflexões e conexões com outros autores que surgiram durante a leitura dos textos (máx. 2 páginas)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Apresentação de seminários (5 pontos)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rtl w:val="0"/>
        </w:rPr>
        <w:t xml:space="preserve">Relatório das salas de aula invertidas: 2 relatórios (1 ponto cada, total 2 pontos)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1440" w:hanging="360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Após as aulas em formato roda de conversa, os/as estudantes deverão, em dupla, entregar um relatório sobre a aula, apresentando os principais pontos do texto e do debate em sala de aula. (máx. 2 páginas)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1440" w:hanging="360"/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rtl w:val="0"/>
        </w:rPr>
        <w:t xml:space="preserve">Os/As estudantes podem escolher quais textos escreverão os relatórios.</w:t>
      </w:r>
    </w:p>
    <w:p w:rsidR="00000000" w:rsidDel="00000000" w:rsidP="00000000" w:rsidRDefault="00000000" w:rsidRPr="00000000" w14:paraId="00000051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21"/>
          <w:szCs w:val="21"/>
          <w:highlight w:val="white"/>
          <w:rtl w:val="0"/>
        </w:rPr>
        <w:t xml:space="preserve">A nota final será composta pela soma simples das notas das avaliações (3,0 + 5,0 + 2,0)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FALTAS:</w:t>
      </w:r>
    </w:p>
    <w:p w:rsidR="00000000" w:rsidDel="00000000" w:rsidP="00000000" w:rsidRDefault="00000000" w:rsidRPr="00000000" w14:paraId="00000054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Faltas não serão abonadas e/ou retificadas pela professora. O controle de faltas é exclusivo dos estudantes. O limite de faltas é de 25% (4 dias totalizando 18 faltas). Em caso de dúvida, consulte o Manual do Aluno para verificar as licenças previstas em lei e como fazer solicitação à secretaria.</w:t>
      </w:r>
    </w:p>
    <w:p w:rsidR="00000000" w:rsidDel="00000000" w:rsidP="00000000" w:rsidRDefault="00000000" w:rsidRPr="00000000" w14:paraId="00000055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:rsidR="00000000" w:rsidDel="00000000" w:rsidP="00000000" w:rsidRDefault="00000000" w:rsidRPr="00000000" w14:paraId="00000056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identificação de adoção de meios fraudulentos em qualquer atividade avaliativa implicará, conforme Regimento Geral da instituição, na atribuição de nota zero (0,0) na atividade em questão. </w:t>
      </w:r>
    </w:p>
    <w:p w:rsidR="00000000" w:rsidDel="00000000" w:rsidP="00000000" w:rsidRDefault="00000000" w:rsidRPr="00000000" w14:paraId="00000057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solicitação de trancamento da disciplina deve ser feita até o dia 28/02.</w:t>
      </w:r>
    </w:p>
    <w:p w:rsidR="00000000" w:rsidDel="00000000" w:rsidP="00000000" w:rsidRDefault="00000000" w:rsidRPr="00000000" w14:paraId="00000058">
      <w:pPr>
        <w:spacing w:after="120" w:before="12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Atividades complementares</w:t>
      </w:r>
    </w:p>
    <w:p w:rsidR="00000000" w:rsidDel="00000000" w:rsidP="00000000" w:rsidRDefault="00000000" w:rsidRPr="00000000" w14:paraId="0000005A">
      <w:pPr>
        <w:spacing w:after="120" w:before="12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:rsidR="00000000" w:rsidDel="00000000" w:rsidP="00000000" w:rsidRDefault="00000000" w:rsidRPr="00000000" w14:paraId="0000005B">
      <w:pPr>
        <w:spacing w:after="120" w:before="12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Regulamento de Atividades Complementares (disponível em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https://www.fespsp.org.br/store/file_source/FESPSP/Documentos/Manuais/RAC_UNIFICADO_versao_2023.pdf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) há informações sobre quais atividades são válidas e quantas horas de cada atividade é possível realizar. Professores também podem indicar palestras internas e externas, filmes, exposições, entre outras atividades que se relacionam com os temas das disciplinas. </w:t>
      </w:r>
    </w:p>
    <w:p w:rsidR="00000000" w:rsidDel="00000000" w:rsidP="00000000" w:rsidRDefault="00000000" w:rsidRPr="00000000" w14:paraId="0000005C">
      <w:pPr>
        <w:spacing w:after="120" w:before="12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Vá em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https://www.fespsp.org.br/manuais-e-orientacoes/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5961229" cy="385341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VII. BIBLIOGRAFIA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5961229" cy="385341"/>
                <wp:effectExtent b="0" l="0" r="0" t="0"/>
                <wp:wrapNone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BÁSICA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9" w:line="245" w:lineRule="auto"/>
        <w:ind w:left="-1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FAUSTINO, Deivison; LIPPOLD, WALTER.. Parte 1: O dilema das redes e a atualidade do colonialismo In Colonialismo digital: por uma crítica hacker fanoniana. Ed. Boitempo.  2023. </w:t>
      </w:r>
    </w:p>
    <w:p w:rsidR="00000000" w:rsidDel="00000000" w:rsidP="00000000" w:rsidRDefault="00000000" w:rsidRPr="00000000" w14:paraId="00000065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GRAEBER, David. Dívida: os primeiros 5000 anos. São Paulo, Editora Três Estrelas. 2016.</w:t>
      </w:r>
    </w:p>
    <w:p w:rsidR="00000000" w:rsidDel="00000000" w:rsidP="00000000" w:rsidRDefault="00000000" w:rsidRPr="00000000" w14:paraId="00000067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MAUSS, Marcel. Ensaio sobre a dádiva In Sociologia e Antropologia. São Paulo, Editora Ubu. 2017</w:t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color w:val="404040"/>
        </w:rPr>
      </w:pPr>
      <w:r w:rsidDel="00000000" w:rsidR="00000000" w:rsidRPr="00000000">
        <w:rPr>
          <w:rFonts w:ascii="Calibri" w:cs="Calibri" w:eastAsia="Calibri" w:hAnsi="Calibri"/>
          <w:b w:val="1"/>
          <w:color w:val="404040"/>
          <w:rtl w:val="0"/>
        </w:rPr>
        <w:t xml:space="preserve">COMPLEMENTAR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ABÍLIO, Ludmilla Costhek.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Uberização: a era do trabalhador just-in-time? </w:t>
      </w:r>
      <w:r w:rsidDel="00000000" w:rsidR="00000000" w:rsidRPr="00000000">
        <w:rPr>
          <w:rFonts w:ascii="Arial" w:cs="Arial" w:eastAsia="Arial" w:hAnsi="Arial"/>
          <w:rtl w:val="0"/>
        </w:rPr>
        <w:t xml:space="preserve">1. Estud. Av. [online]. 2020, vol.34,</w:t>
        <w:br w:type="textWrapping"/>
        <w:t xml:space="preserve">n.98, pp.111-126</w:t>
      </w:r>
    </w:p>
    <w:p w:rsidR="00000000" w:rsidDel="00000000" w:rsidP="00000000" w:rsidRDefault="00000000" w:rsidRPr="00000000" w14:paraId="0000006C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GRAEBER, David.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comunismo de Marcel Mauss</w:t>
      </w:r>
      <w:r w:rsidDel="00000000" w:rsidR="00000000" w:rsidRPr="00000000">
        <w:rPr>
          <w:rFonts w:ascii="Arial" w:cs="Arial" w:eastAsia="Arial" w:hAnsi="Arial"/>
          <w:rtl w:val="0"/>
        </w:rPr>
        <w:t xml:space="preserve"> In Revista de Estudos Antiutilitaristas e Pós-coloniais,</w:t>
        <w:br w:type="textWrapping"/>
        <w:t xml:space="preserve">vol. 3, no 1 jan-jun, 2013.</w:t>
      </w:r>
    </w:p>
    <w:p w:rsidR="00000000" w:rsidDel="00000000" w:rsidP="00000000" w:rsidRDefault="00000000" w:rsidRPr="00000000" w14:paraId="0000006E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GORZ, André. O imaterial: conhecimento, valor e capital. Rio de Janeiro, Ed. Record. 2005.</w:t>
      </w:r>
    </w:p>
    <w:p w:rsidR="00000000" w:rsidDel="00000000" w:rsidP="00000000" w:rsidRDefault="00000000" w:rsidRPr="00000000" w14:paraId="00000070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LANNA, Marcos.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Sobre Marshall Sahlins e as cosmologias do capitalismo.</w:t>
      </w:r>
      <w:r w:rsidDel="00000000" w:rsidR="00000000" w:rsidRPr="00000000">
        <w:rPr>
          <w:rFonts w:ascii="Arial" w:cs="Arial" w:eastAsia="Arial" w:hAnsi="Arial"/>
          <w:rtl w:val="0"/>
        </w:rPr>
        <w:t xml:space="preserve"> Revista Mana, 2001. (p. 117-131)</w:t>
      </w:r>
    </w:p>
    <w:p w:rsidR="00000000" w:rsidDel="00000000" w:rsidP="00000000" w:rsidRDefault="00000000" w:rsidRPr="00000000" w14:paraId="00000072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SAHLINS, Marshall.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Cosmologias do capitalismo: o setor transpacífico do sistema mundial </w:t>
      </w:r>
      <w:r w:rsidDel="00000000" w:rsidR="00000000" w:rsidRPr="00000000">
        <w:rPr>
          <w:rFonts w:ascii="Arial" w:cs="Arial" w:eastAsia="Arial" w:hAnsi="Arial"/>
          <w:rtl w:val="0"/>
        </w:rPr>
        <w:t xml:space="preserve">In Revista Religião e Sociedade, vol. 16, 1992. (p. 8-25)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SANTOS, Antônio Bispo. Somos compartilhantes In A terra dá, A terra quer. São Paulo. Ubu Editora, 2023. p. 35 - 54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 REFERÊNCIA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ARGENTIN, P.D; DURÃO, S.S.B. Entre trabalhadores e bandidos, pequenos-patrões. Uma etnografia da inconstância na segurança privada terceirizada In 45º Encontro Anual da Anpocs, GT Etnografias do Capitalismo: Pessoas nos mundos, 2021.</w:t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ASSIS, W.F.T. Do colonialismo à colonialidade: expropriação territorial na periferia do capitalismo. Cad. CRH 27 (72), Dez 2014.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RODRIGUES, C.E; SANTANA, C.M. Reprodução colonial capitalista e resistências indígenas: estudo comparativo entre Brasil e México In Configurações: revista de sociologia. vol. 25, 2020, pp. 112-127.</w:t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BENJAMIN, Walter. Introdução e Capítulo 1 in Capitalismo como religião. São Paulo, Editora Boitempo. 2002.</w:t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CASSINO, João F. SOUZA, Joyce. SILVEIRA, Sérgio A (org). A hipótese do colonialismo de dados e o neoliberalismo In Colonialismo de Dados: como opera a trincheira. São Paulo. Ed. Autonomia Literária, 2021. (p. 32 - 50)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COSTA, Henrique. Notas sobre o empreendedorismo periférico em São Paulo. In 44º Encontro Anual da Anpocs, GT Etnografias do Capitalismo: Pessoas nos mundos, 2020.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COSTA, Marta Nunes da. (Des)construindo o sujeito neoliberal a partir de Foucault In Veritas – Revista de Filosofia da PUC-RS, Porto Alegre, v. 62, n. 2, maio-ago. 2017, p. 354-376</w: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DARDOT, Pierre; LAVAL, Christian. Introdução à edição inglesa In A nova razão do mundo. São Paulo, Editora Boitempo, 2009.</w:t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GIRALDIN, Raoni Machado. Antropologia do Capitalismo na sala do empreendedor. Tese de doutorado, Universidade de Brasília,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HARDT, Michael. NEGRI. Antonio. Pós-modernização ou a informatização da produção e Constituição mista In Império. Rio de Janeiro, Ed. Record. 2003. (p. 301-345)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LEMOS, Frederico Pacheco. PARA UMA CONTRA-ANTROPOLOGIA DA RACIONALIDADE ECONÔMICA  Repensando o “espírito” do capitalismo a partir das palavras do xamã Davi Kopenawa em A Queda do Céu. Trabalho de Conclusão de Curso (Graduação em Ciências Sociais) – Universidade Federal Fluminense, Instituto de Ciências Humanas e Filosofia, Departamento de Ciências Sociais, 2017. 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LOPES, José Sérgio Leite. O trabalho visto pela antropologia social. Revista Ciências do Trabalho - Volume 1 - Número 1 - p. 65 - 84.</w:t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LOWY, Michel. O capitalismo como religião. Folha de São Paulo, 2005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MAIA, Marcel Maggion. Trabalho emocional e significados do feminino no empreendedorismo contemporâneo. Cad. Pagu (64) • 2022 https://doi.org/10.1590/18094449202200640003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ZANONI, Alexandre Pilan. Lâmpadas para os meus pés: vida e trabalho no capitalismo informacional In 45º Encontro Anual da Anpocs, GT Etnografias do Capitalismo: Pessoas nos mundos,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OUTRAS INDICAÇÕES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61229" cy="385341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26262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VIII. CRONOGRAMA DE ATIVIDADES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961229" cy="385341"/>
                <wp:effectExtent b="0" l="0" r="0" t="0"/>
                <wp:wrapNone/>
                <wp:docPr id="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229" cy="385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color w:val="4040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6"/>
        <w:gridCol w:w="8099"/>
        <w:tblGridChange w:id="0">
          <w:tblGrid>
            <w:gridCol w:w="1266"/>
            <w:gridCol w:w="80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1-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24/02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de apresentação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Apresentação do Professor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Apresentação do/as estudantes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Apresentação do Plano de Ensino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8"/>
              </w:numP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Organização dos grupos para os seminários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2 -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10/03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rtl w:val="0"/>
              </w:rPr>
              <w:t xml:space="preserve">Aula expositiva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Sessão 1: Capitalismo enquanto cultura</w:t>
            </w:r>
          </w:p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SAHLINS, Marshall. Cosmologias do capitalismo: o setor transpacífico do sistema mundial In Revista Religião e Sociedade, vol. 16, 1992. (p. 8-25)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complementar: LANNA, Marcos. Sobre Marshall Sahlins e as cosmologias do capitalismo. Revista Mana, 2001. (p. 117-131)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3 -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17/03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Prática: Sala de aula invertida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Os/As estudantes serão divididos em grupo durante a aula e em conjunto vão organizar as ideias e apresentar o entendimento coletivo que tiveram do texto.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Sessão 2: Capitalismo como religião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BENJAMIN, Walter. Introdução e Capítulo 1 in Capitalismo como religião. São Paulo, Editora Boitempo. 2002</w:t>
            </w:r>
          </w:p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complementar: LOWY, Michel. O capitalismo como religião. Folha de São Paulo, 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4 - 24/03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b w:val="1"/>
                <w:color w:val="40404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highlight w:val="yellow"/>
                <w:rtl w:val="0"/>
              </w:rPr>
              <w:t xml:space="preserve">Seminário 1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Sessão 3: Etnografias sobre o capitalismo </w:t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MAIA, Marcel Maggion. Trabalho emocional e significados do feminino no empreendedorismo contemporâneo. Cad. Pagu (64) • 2022 https://doi.org/10.1590/18094449202200640003</w:t>
            </w:r>
          </w:p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Complementar: GIRALDIN, Raoni Machado.Cap 4 in Antropologia do Capitalismo na sala do empreendedor. Tese de doutorado, Universidade de Brasília,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5 - 31/03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b w:val="1"/>
                <w:color w:val="40404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highlight w:val="yellow"/>
                <w:rtl w:val="0"/>
              </w:rPr>
              <w:t xml:space="preserve">Seminário 2 - On-line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3: Etnografias sobre o capitalismo (Seminário)</w:t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FIGUEIREDO, D.A.J. Linguagens de poder e acumulação de riquezas: traduções entre o modo de existência capitalista e o mundo da tradição no norte de Moçambique In 45º Encontro Anual da Anpocs, GT Etnografias do Capitalismo: Pessoas nos mundos, 2021.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6 - 07/04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b w:val="1"/>
                <w:color w:val="40404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highlight w:val="yellow"/>
                <w:rtl w:val="0"/>
              </w:rPr>
              <w:t xml:space="preserve">Seminário 3</w:t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3: Etnografias sobre o capitalismo (Seminário)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COSTA, Henrique. Notas sobre o empreendedorismo periférico em São Paulo. In 44º Encontro Anual da Anpocs, GT Etnografias do Capitalismo: Pessoas nos mundos, 2020.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7 - 14/04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Semana de Orientação e Pesquisa</w:t>
            </w:r>
          </w:p>
          <w:p w:rsidR="00000000" w:rsidDel="00000000" w:rsidP="00000000" w:rsidRDefault="00000000" w:rsidRPr="00000000" w14:paraId="000000D6">
            <w:pPr>
              <w:ind w:right="268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 estudantes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 minha orientação virão à aula para conversarmos sobre a proposta de trabalho entregue na aula anterior.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Feriado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8 - 28/04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b w:val="1"/>
                <w:color w:val="40404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highlight w:val="yellow"/>
                <w:rtl w:val="0"/>
              </w:rPr>
              <w:t xml:space="preserve">Seminário 4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3: Etnografias sobre o capitalismo (Seminário)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AHLERT, Martina. Notas etnográficas sobre solidão e capitalismo In 45º Encontro Anual da Anpocs, GT Etnografias do Capitalismo: Pessoas nos mundos, 2021.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9 - 05/05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expositiva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4: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Capitalismo informacional e imaterial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Texto base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GORZ, André. O Imaterial: conhecimento, valor e capital. Rio de Janeiro, Ed. Record. 2003. Prefácio, Parte I e II.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complementar: ABÍLIO, Ludmilla Costhek. Uberização: a era do trabalhador just-in-time? 1. Estud. Av. [online]. 2020, vol.34, n.98, pp.111-126.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https://www.scielo.br/j/ea/a/VHXmNyKzQLzMyHbgcGMNNwv/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10 - 10/05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Reposição: entrega de atividade via AVA - Reação ao texto.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4: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Capitalismo informacional e imaterial</w:t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ZANONI, Alexandre Pilan. Lâmpadas para os meus pés: vida e trabalho no capitalismo informacional In 45º Encontro Anual da Anpocs, GT Etnografias do Capitalismo: Pessoas nos mundos, 2021.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11 - 12/05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expositiva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5: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Capitalismo, colonialismo e colonialidade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CASSINO, João F. SOUZA, Joyce. SILVEIRA, Sérgio A (org). A hipótese do colonialismo de dados e o neoliberalismo In Colonialismo de Dados: como opera a trincheira. São Paulo. Ed. Autonomia Literária, 2021. (p. 32 - 50)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12 - 19/05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Prática: Sala de aula invertida</w:t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Os/As estudantes serão divididos em grupo durante a aula e em conjunto vão organizar as ideias e apresentar o entendimento coletivo que tiveram do texto.</w:t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5: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Capitalismo, colonialismo e colonialidade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Texto base: ASSIS, W.F.T. Do colonialismo à colonialidade: expropriação territorial na periferia do capitalismo. Cad. CRH 27 (72), Dez 2014.</w:t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13 - 26/05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expositiva - Convidado a confirmar.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5: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Capitalismo, colonialismo e colonialidade</w:t>
            </w:r>
          </w:p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before="9" w:line="245" w:lineRule="auto"/>
              <w:ind w:left="-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FAUSTINO, Deivison; LIPPOLD, Walter. Parte 1: O dilema das redes e a atualidade do colonialismo In Colonialismo digital: por uma crítica hacker fanoniana. Ed. Boitempo.  2023. </w:t>
            </w:r>
          </w:p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14 - 31/05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Reposição: entrega de atividade via AVA - - Reação ao texto.</w:t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5: </w:t>
            </w: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Capitalismo, colonialismo e colonialidade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color w:val="40404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Texto Complementar: RODRIGUES, C.E; SANTANA, C.M. Reprodução colonial capitalista e resistências indígenas: estudo comparativo entre Brasil e México In Configurações: revista de sociologia. vol. 25, 2020, pp. 112-127.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https://journals.openedition.org/configuracoes/8821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15 - 02/06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Prática: Sala de aula invertida</w:t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Os/As estudantes serão divididos em grupo durante a aula e em conjunto vão organizar as ideias e apresentar o entendimento coletivo que tiveram do texto.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6: Dádiva e Dívida</w:t>
            </w:r>
          </w:p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MAUSS, Marcel. Ensaio sobre a dádiva In Sociologia e Antropologia. São Paulo, Editora Ubu. 2017.</w:t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16 - 09/06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expositiva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6: Dádiva e Dívida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rtl w:val="0"/>
              </w:rPr>
              <w:t xml:space="preserve">Texto base: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GRAEBER, David. Capítulo 2 - O Mito do Escambo In Divida: os primeiros 5000 anos. São Paulo, Editora Três Estrelas.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17 - 14/06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Reposição: entrega de atividade via AVA -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Reação ao texto.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6: Dádiva e Dívida</w:t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Texto base: GRAEBER, David. O comunismo de Marcel Mauss In Revista de Estudos Antiutilitaristas e Pós-coloniais, vol. 3, nº 1 jan-jun, 2013.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https://periodicos.ufpe.br/revistas/realis/article/view/8777/8752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Aula 18 - 16/06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Prática: Sala de aula invertida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Os/As estudantes serão divididos em grupo durante a aula e em conjunto vão organizar as ideias e apresentar o entendimento coletivo que tiveram do texto.</w:t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Sessão 7: Dar ou Compartilhar?: epistemologias contra-coloniais e anticapitalistas.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SANTOS, Antônio Bispo. Somos compartilhantes e Criar solto, plantar cercado In A terra dá, A terra quer. São Paulo. Ubu Editora, 2023. p. 35 -54, 89-106.</w:t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Fechamento do curso: roda de conversa sobre o conteúdo trabalhado.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23/06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EXAME</w:t>
            </w:r>
          </w:p>
        </w:tc>
      </w:tr>
    </w:tbl>
    <w:p w:rsidR="00000000" w:rsidDel="00000000" w:rsidP="00000000" w:rsidRDefault="00000000" w:rsidRPr="00000000" w14:paraId="000001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7" w:w="11905" w:orient="portrait"/>
      <w:pgMar w:bottom="1079" w:top="2004" w:left="130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-490738</wp:posOffset>
          </wp:positionH>
          <wp:positionV relativeFrom="paragraph">
            <wp:posOffset>-288922</wp:posOffset>
          </wp:positionV>
          <wp:extent cx="7419702" cy="1110051"/>
          <wp:effectExtent b="0" l="0" r="0" t="0"/>
          <wp:wrapNone/>
          <wp:docPr id="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2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38100</wp:posOffset>
              </wp:positionV>
              <wp:extent cx="723900" cy="161925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998338" y="3713325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38100</wp:posOffset>
              </wp:positionV>
              <wp:extent cx="723900" cy="161925"/>
              <wp:effectExtent b="0" l="0" r="0" t="0"/>
              <wp:wrapNone/>
              <wp:docPr id="4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4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Fundação Escola de Sociologia e Política de São Paulo – FESPSP</w:t>
    </w:r>
  </w:p>
  <w:p w:rsidR="00000000" w:rsidDel="00000000" w:rsidP="00000000" w:rsidRDefault="00000000" w:rsidRPr="00000000" w14:paraId="00000136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Escola de Sociologia e Política de São Paulo - ESP</w:t>
    </w:r>
  </w:p>
  <w:p w:rsidR="00000000" w:rsidDel="00000000" w:rsidP="00000000" w:rsidRDefault="00000000" w:rsidRPr="00000000" w14:paraId="00000137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rtl w:val="0"/>
      </w:rPr>
      <w:t xml:space="preserve">Recredenciada pela Portaria SERES nº 754 de 08/07/2022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jc w:val="center"/>
      <w:rPr/>
    </w:pPr>
    <w:r w:rsidDel="00000000" w:rsidR="00000000" w:rsidRPr="00000000">
      <w:rPr>
        <w:rFonts w:ascii="Arial" w:cs="Arial" w:eastAsia="Arial" w:hAnsi="Arial"/>
        <w:rtl w:val="0"/>
      </w:rPr>
      <w:t xml:space="preserve">Publicada no Diário Oficial da União de 11/07/2022. Edição 129. Seção1. Página 42.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  <w:shd w:fill="cccccc" w:val="clear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sid w:val="008C719D"/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jc w:val="both"/>
      <w:outlineLvl w:val="2"/>
    </w:pPr>
    <w:rPr>
      <w:b w:val="1"/>
      <w:shd w:color="auto" w:fill="auto" w:val="pct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E51DA4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comentrio">
    <w:name w:val="annotation text"/>
    <w:basedOn w:val="Normal"/>
    <w:link w:val="TextodecomentrioChar"/>
    <w:semiHidden w:val="1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highlightedsearchterm" w:customStyle="1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sz w:val="24"/>
      <w:szCs w:val="24"/>
    </w:rPr>
  </w:style>
  <w:style w:type="character" w:styleId="a" w:customStyle="1">
    <w:name w:val="a"/>
    <w:basedOn w:val="Fontepargpadro"/>
  </w:style>
  <w:style w:type="character" w:styleId="nfase">
    <w:name w:val="Emphasis"/>
    <w:qFormat w:val="1"/>
    <w:rPr>
      <w:b w:val="1"/>
      <w:bCs w:val="1"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cs="Arial" w:hAnsi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A7F85"/>
  </w:style>
  <w:style w:type="character" w:styleId="TextodecomentrioChar" w:customStyle="1">
    <w:name w:val="Texto de comentário Char"/>
    <w:basedOn w:val="Fontepargpadro"/>
    <w:link w:val="Textodecomentrio"/>
    <w:semiHidden w:val="1"/>
    <w:rsid w:val="0067456C"/>
  </w:style>
  <w:style w:type="paragraph" w:styleId="Default" w:customStyle="1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rsid w:val="00F5200C"/>
    <w:rPr>
      <w:rFonts w:ascii="Segoe UI" w:cs="Segoe UI" w:hAnsi="Segoe UI"/>
      <w:sz w:val="18"/>
      <w:szCs w:val="18"/>
    </w:rPr>
  </w:style>
  <w:style w:type="character" w:styleId="Ttulo6Char" w:customStyle="1">
    <w:name w:val="Título 6 Char"/>
    <w:link w:val="Ttulo6"/>
    <w:semiHidden w:val="1"/>
    <w:rsid w:val="00E51DA4"/>
    <w:rPr>
      <w:rFonts w:ascii="Calibri" w:cs="Times New Roman" w:eastAsia="Times New Roman" w:hAnsi="Calibri"/>
      <w:b w:val="1"/>
      <w:bCs w:val="1"/>
      <w:sz w:val="22"/>
      <w:szCs w:val="22"/>
    </w:rPr>
  </w:style>
  <w:style w:type="character" w:styleId="CitaoHTML">
    <w:name w:val="HTML Cite"/>
    <w:uiPriority w:val="99"/>
    <w:unhideWhenUsed w:val="1"/>
    <w:rsid w:val="00B4476B"/>
    <w:rPr>
      <w:i w:val="1"/>
      <w:iCs w:val="1"/>
    </w:rPr>
  </w:style>
  <w:style w:type="table" w:styleId="Tabelacomgrade">
    <w:name w:val="Table Grid"/>
    <w:basedOn w:val="Tabelanormal"/>
    <w:rsid w:val="008E628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rsid w:val="005C39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396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5C396B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7157A2"/>
    <w:rPr>
      <w:color w:val="605e5c"/>
      <w:shd w:color="auto" w:fill="e1dfdd" w:val="clear"/>
    </w:rPr>
  </w:style>
  <w:style w:type="table" w:styleId="a2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journals.openedition.org/configuracoes/8821" TargetMode="External"/><Relationship Id="rId10" Type="http://schemas.openxmlformats.org/officeDocument/2006/relationships/hyperlink" Target="https://www.scielo.br/j/ea/a/VHXmNyKzQLzMyHbgcGMNNwv/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periodicos.ufpe.br/revistas/realis/article/view/8777/875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espsp.org.br/manuais-e-orientacoes/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0.png"/><Relationship Id="rId8" Type="http://schemas.openxmlformats.org/officeDocument/2006/relationships/hyperlink" Target="https://www.fespsp.org.br/store/file_source/FESPSP/Documentos/Manuais/RAC_UNIFICADO_versao_2023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FB69tdHENA/w2LZgTrH1miME8g==">CgMxLjAyCGguZ2pkZ3hzOAByITFjQy0tRTRsZHMyUzBQYUtQaHdGVy1rQXUxdlZxQ0c2Ug==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2025-02-02T22:43:00Z</dcterms:created>
  <dc:creator>Moises Silva Marques</dc:creator>
</cp:coreProperties>
</file>